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67" w:rsidRPr="00F5169E" w:rsidRDefault="00025767" w:rsidP="000257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69E">
        <w:rPr>
          <w:rFonts w:ascii="Times New Roman" w:hAnsi="Times New Roman" w:cs="Times New Roman"/>
          <w:b/>
          <w:sz w:val="24"/>
          <w:szCs w:val="24"/>
          <w:lang w:val="uk-UA"/>
        </w:rPr>
        <w:t>ЕФЕКТИВНІ ВЧИТЕЛІ</w:t>
      </w:r>
    </w:p>
    <w:p w:rsidR="00025767" w:rsidRPr="00796460" w:rsidRDefault="00025767" w:rsidP="000257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Raven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, 1984)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провів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виді</w:t>
      </w:r>
      <w:proofErr w:type="gramStart"/>
      <w:r w:rsidRPr="00F516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86">
        <w:rPr>
          <w:rFonts w:ascii="Times New Roman" w:hAnsi="Times New Roman" w:cs="Times New Roman"/>
          <w:sz w:val="24"/>
          <w:szCs w:val="24"/>
        </w:rPr>
        <w:t>компетентност</w:t>
      </w:r>
      <w:r w:rsidR="00897B86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ефективн</w:t>
      </w:r>
      <w:proofErr w:type="spellEnd"/>
      <w:r w:rsidRPr="00F5169E">
        <w:rPr>
          <w:rFonts w:ascii="Times New Roman" w:hAnsi="Times New Roman" w:cs="Times New Roman"/>
          <w:sz w:val="24"/>
          <w:szCs w:val="24"/>
          <w:lang w:val="uk-UA"/>
        </w:rPr>
        <w:t>і вчителі</w:t>
      </w:r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="007964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5767" w:rsidRPr="00F5169E" w:rsidRDefault="00025767" w:rsidP="000257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міркувати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6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169E">
        <w:rPr>
          <w:rFonts w:ascii="Times New Roman" w:hAnsi="Times New Roman" w:cs="Times New Roman"/>
          <w:sz w:val="24"/>
          <w:szCs w:val="24"/>
        </w:rPr>
        <w:t>іклуватися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5767" w:rsidRPr="00F5169E" w:rsidRDefault="00025767" w:rsidP="000257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помічати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реакцію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F5169E">
        <w:rPr>
          <w:rFonts w:ascii="Times New Roman" w:hAnsi="Times New Roman" w:cs="Times New Roman"/>
          <w:sz w:val="24"/>
          <w:szCs w:val="24"/>
        </w:rPr>
        <w:t>,</w:t>
      </w:r>
    </w:p>
    <w:p w:rsidR="00025767" w:rsidRPr="00F5169E" w:rsidRDefault="00025767" w:rsidP="000257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169E">
        <w:rPr>
          <w:rFonts w:ascii="Times New Roman" w:hAnsi="Times New Roman" w:cs="Times New Roman"/>
          <w:sz w:val="24"/>
          <w:szCs w:val="24"/>
          <w:lang w:val="uk-UA"/>
        </w:rPr>
        <w:t>на ділі демонструвати</w:t>
      </w:r>
      <w:r w:rsidR="00796460">
        <w:rPr>
          <w:rFonts w:ascii="Times New Roman" w:hAnsi="Times New Roman" w:cs="Times New Roman"/>
          <w:sz w:val="24"/>
          <w:szCs w:val="24"/>
          <w:lang w:val="uk-UA"/>
        </w:rPr>
        <w:t xml:space="preserve"> свої власні переваги та систему цінностей,</w:t>
      </w:r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 глибоко особисті способи мислення і переживання, що призводять до досягнення поставлених цілей, </w:t>
      </w:r>
    </w:p>
    <w:p w:rsidR="00025767" w:rsidRPr="00F5169E" w:rsidRDefault="00025767" w:rsidP="000257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2B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розуміти і успішно впливати на зовнішні по відношенню до школи соціальні фактори, які зазвичай обмежують можливості роботи</w:t>
      </w:r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25767" w:rsidRPr="00F5169E" w:rsidRDefault="00025767" w:rsidP="000257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</w:t>
      </w:r>
      <w:r w:rsidRPr="00F5169E">
        <w:rPr>
          <w:rFonts w:ascii="Times New Roman" w:hAnsi="Times New Roman" w:cs="Times New Roman"/>
          <w:b/>
          <w:sz w:val="24"/>
          <w:szCs w:val="24"/>
          <w:lang w:val="uk-UA"/>
        </w:rPr>
        <w:t>розуміння психологічних, соціологічних і політичних аспектів виробн</w:t>
      </w:r>
      <w:r w:rsidR="007964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ичої діяльності видається </w:t>
      </w:r>
      <w:r w:rsidRPr="00F5169E">
        <w:rPr>
          <w:rFonts w:ascii="Times New Roman" w:hAnsi="Times New Roman" w:cs="Times New Roman"/>
          <w:b/>
          <w:sz w:val="24"/>
          <w:szCs w:val="24"/>
          <w:lang w:val="uk-UA"/>
        </w:rPr>
        <w:t>основною умовою ефективного викладання,</w:t>
      </w:r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 незважаючи на те, що необхідні знання з психології та соціології зазвичай не входять в програму навчання самих викладачів.</w:t>
      </w:r>
    </w:p>
    <w:p w:rsidR="00025767" w:rsidRDefault="00025767" w:rsidP="000257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169E">
        <w:rPr>
          <w:rFonts w:ascii="Times New Roman" w:hAnsi="Times New Roman" w:cs="Times New Roman"/>
          <w:sz w:val="24"/>
          <w:szCs w:val="24"/>
          <w:lang w:val="uk-UA"/>
        </w:rPr>
        <w:t>Шнейдер</w:t>
      </w:r>
      <w:proofErr w:type="spellEnd"/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169E">
        <w:rPr>
          <w:rFonts w:ascii="Times New Roman" w:hAnsi="Times New Roman" w:cs="Times New Roman"/>
          <w:sz w:val="24"/>
          <w:szCs w:val="24"/>
          <w:lang w:val="uk-UA"/>
        </w:rPr>
        <w:t>Клемп</w:t>
      </w:r>
      <w:proofErr w:type="spellEnd"/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5169E">
        <w:rPr>
          <w:rFonts w:ascii="Times New Roman" w:hAnsi="Times New Roman" w:cs="Times New Roman"/>
          <w:sz w:val="24"/>
          <w:szCs w:val="24"/>
          <w:lang w:val="uk-UA"/>
        </w:rPr>
        <w:t>Кастендік</w:t>
      </w:r>
      <w:proofErr w:type="spellEnd"/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Klemp</w:t>
      </w:r>
      <w:proofErr w:type="spellEnd"/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169E">
        <w:rPr>
          <w:rFonts w:ascii="Times New Roman" w:hAnsi="Times New Roman" w:cs="Times New Roman"/>
          <w:sz w:val="24"/>
          <w:szCs w:val="24"/>
        </w:rPr>
        <w:t>Kastendiek</w:t>
      </w:r>
      <w:proofErr w:type="spellEnd"/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, 1981) також досліджували якості, необхідні вчителям для ефективної роботи. Вони виявили, що </w:t>
      </w:r>
      <w:r w:rsidRPr="00CD42B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ключовим фактором, який відрізня</w:t>
      </w:r>
      <w:r w:rsidR="007964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є ефективних викладачів від їх не настільки ефективних</w:t>
      </w:r>
      <w:r w:rsidRPr="00CD42B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колег є здатність поєдну</w:t>
      </w:r>
      <w:r w:rsidR="007964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вати </w:t>
      </w:r>
      <w:proofErr w:type="spellStart"/>
      <w:r w:rsidR="007964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центрованість</w:t>
      </w:r>
      <w:proofErr w:type="spellEnd"/>
      <w:r w:rsidR="007964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- розуміння потреб, інтересів</w:t>
      </w:r>
      <w:r w:rsidRPr="00CD42B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і захопл</w:t>
      </w:r>
      <w:r w:rsidR="007964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ень дітей</w:t>
      </w:r>
      <w:r w:rsidR="00E4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- з </w:t>
      </w:r>
      <w:proofErr w:type="spellStart"/>
      <w:r w:rsidR="00E4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директивні</w:t>
      </w:r>
      <w:r w:rsidRPr="00CD42B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стю</w:t>
      </w:r>
      <w:proofErr w:type="spellEnd"/>
      <w:r w:rsidRPr="00CD42B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тобто здатністю надавати навчанню сенс і цілеспрямованість.</w:t>
      </w:r>
      <w:r w:rsidRPr="00F51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B86">
        <w:rPr>
          <w:rFonts w:ascii="Times New Roman" w:hAnsi="Times New Roman" w:cs="Times New Roman"/>
          <w:sz w:val="24"/>
          <w:szCs w:val="24"/>
          <w:lang w:val="uk-UA"/>
        </w:rPr>
        <w:t>Хороший учитель</w:t>
      </w:r>
      <w:r w:rsidRPr="00796460">
        <w:rPr>
          <w:rFonts w:ascii="Times New Roman" w:hAnsi="Times New Roman" w:cs="Times New Roman"/>
          <w:sz w:val="24"/>
          <w:szCs w:val="24"/>
          <w:lang w:val="uk-UA"/>
        </w:rPr>
        <w:t xml:space="preserve"> уважно підмічає сх</w:t>
      </w:r>
      <w:r w:rsidR="00796460">
        <w:rPr>
          <w:rFonts w:ascii="Times New Roman" w:hAnsi="Times New Roman" w:cs="Times New Roman"/>
          <w:sz w:val="24"/>
          <w:szCs w:val="24"/>
          <w:lang w:val="uk-UA"/>
        </w:rPr>
        <w:t>ильності учня і обмірковує їх, а</w:t>
      </w:r>
      <w:r w:rsidRPr="00796460">
        <w:rPr>
          <w:rFonts w:ascii="Times New Roman" w:hAnsi="Times New Roman" w:cs="Times New Roman"/>
          <w:sz w:val="24"/>
          <w:szCs w:val="24"/>
          <w:lang w:val="uk-UA"/>
        </w:rPr>
        <w:t xml:space="preserve"> потім </w:t>
      </w:r>
      <w:proofErr w:type="spellStart"/>
      <w:r w:rsidRPr="00796460">
        <w:rPr>
          <w:rFonts w:ascii="Times New Roman" w:hAnsi="Times New Roman" w:cs="Times New Roman"/>
          <w:sz w:val="24"/>
          <w:szCs w:val="24"/>
          <w:lang w:val="uk-UA"/>
        </w:rPr>
        <w:t>директивно</w:t>
      </w:r>
      <w:proofErr w:type="spellEnd"/>
      <w:r w:rsidRPr="00796460">
        <w:rPr>
          <w:rFonts w:ascii="Times New Roman" w:hAnsi="Times New Roman" w:cs="Times New Roman"/>
          <w:sz w:val="24"/>
          <w:szCs w:val="24"/>
          <w:lang w:val="uk-UA"/>
        </w:rPr>
        <w:t xml:space="preserve"> керує розвитком </w:t>
      </w:r>
      <w:r w:rsidR="00E43C66" w:rsidRPr="00796460">
        <w:rPr>
          <w:rFonts w:ascii="Times New Roman" w:hAnsi="Times New Roman" w:cs="Times New Roman"/>
          <w:sz w:val="24"/>
          <w:szCs w:val="24"/>
          <w:lang w:val="uk-UA"/>
        </w:rPr>
        <w:t xml:space="preserve">за напрямками, які будуть </w:t>
      </w:r>
      <w:r w:rsidR="00796460">
        <w:rPr>
          <w:rFonts w:ascii="Times New Roman" w:hAnsi="Times New Roman" w:cs="Times New Roman"/>
          <w:sz w:val="24"/>
          <w:szCs w:val="24"/>
          <w:lang w:val="uk-UA"/>
        </w:rPr>
        <w:t>для останнього</w:t>
      </w:r>
      <w:r w:rsidRPr="00796460">
        <w:rPr>
          <w:rFonts w:ascii="Times New Roman" w:hAnsi="Times New Roman" w:cs="Times New Roman"/>
          <w:sz w:val="24"/>
          <w:szCs w:val="24"/>
          <w:lang w:val="uk-UA"/>
        </w:rPr>
        <w:t xml:space="preserve"> цікаві і корисні.</w:t>
      </w:r>
    </w:p>
    <w:p w:rsidR="00796460" w:rsidRPr="00796460" w:rsidRDefault="00796460" w:rsidP="000257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767" w:rsidRPr="00A903E6" w:rsidRDefault="00025767" w:rsidP="0002576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  <w:lastRenderedPageBreak/>
        <w:t xml:space="preserve">Тернопільський комунальний </w:t>
      </w:r>
    </w:p>
    <w:p w:rsidR="00025767" w:rsidRPr="00A903E6" w:rsidRDefault="00025767" w:rsidP="0002576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  <w:t xml:space="preserve">методичний центр науково-освітніх </w:t>
      </w:r>
    </w:p>
    <w:p w:rsidR="00025767" w:rsidRPr="00A903E6" w:rsidRDefault="00025767" w:rsidP="0002576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  <w:t>інновацій та моніторингу</w:t>
      </w:r>
    </w:p>
    <w:p w:rsidR="00A903E6" w:rsidRPr="00A903E6" w:rsidRDefault="00A903E6" w:rsidP="00E43C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uk-UA"/>
        </w:rPr>
      </w:pPr>
    </w:p>
    <w:p w:rsidR="00025767" w:rsidRPr="00A903E6" w:rsidRDefault="00E43C66" w:rsidP="00E43C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A903E6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Актуальні аспекти організації роботи методичних об’єднань</w:t>
      </w:r>
      <w:r w:rsidR="00796460" w:rsidRPr="00A903E6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lang w:val="uk-UA"/>
        </w:rPr>
        <w:t xml:space="preserve"> учителів української</w:t>
      </w:r>
      <w:r w:rsidRPr="00A903E6"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lang w:val="uk-UA"/>
        </w:rPr>
        <w:t xml:space="preserve"> мови і літератури</w:t>
      </w:r>
      <w:r w:rsidRPr="00A903E6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 </w:t>
      </w:r>
    </w:p>
    <w:p w:rsidR="00A903E6" w:rsidRPr="00A903E6" w:rsidRDefault="00A903E6" w:rsidP="00E43C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2060"/>
          <w:sz w:val="40"/>
          <w:szCs w:val="40"/>
          <w:lang w:val="uk-UA"/>
        </w:rPr>
      </w:pPr>
    </w:p>
    <w:p w:rsidR="00E43C66" w:rsidRPr="00A903E6" w:rsidRDefault="00025767" w:rsidP="00A903E6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uk-UA"/>
        </w:rPr>
      </w:pPr>
      <w:r w:rsidRPr="00A903E6">
        <w:rPr>
          <w:rFonts w:ascii="Times New Roman" w:hAnsi="Times New Roman" w:cs="Times New Roman"/>
          <w:b/>
          <w:color w:val="002060"/>
          <w:lang w:val="uk-UA"/>
        </w:rPr>
        <w:t xml:space="preserve">                                 </w:t>
      </w:r>
      <w:r w:rsidRPr="00A903E6">
        <w:rPr>
          <w:rFonts w:ascii="Times New Roman" w:hAnsi="Times New Roman" w:cs="Times New Roman"/>
          <w:b/>
          <w:i/>
          <w:color w:val="002060"/>
          <w:lang w:val="uk-UA"/>
        </w:rPr>
        <w:t xml:space="preserve">            </w:t>
      </w:r>
      <w:r w:rsidR="00E43C66" w:rsidRPr="00A903E6">
        <w:rPr>
          <w:rFonts w:ascii="Times New Roman" w:hAnsi="Times New Roman" w:cs="Times New Roman"/>
          <w:b/>
          <w:i/>
          <w:u w:val="single"/>
          <w:lang w:val="uk-UA"/>
        </w:rPr>
        <w:t>Цільова аудиторія:</w:t>
      </w:r>
    </w:p>
    <w:p w:rsidR="00A903E6" w:rsidRDefault="00897B86" w:rsidP="00E43C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A903E6">
        <w:rPr>
          <w:rFonts w:ascii="Times New Roman" w:hAnsi="Times New Roman" w:cs="Times New Roman"/>
          <w:b/>
          <w:i/>
          <w:lang w:val="uk-UA"/>
        </w:rPr>
        <w:t xml:space="preserve">      </w:t>
      </w:r>
      <w:r w:rsidR="00E43C66" w:rsidRPr="00A903E6">
        <w:rPr>
          <w:rFonts w:ascii="Times New Roman" w:hAnsi="Times New Roman" w:cs="Times New Roman"/>
          <w:b/>
          <w:i/>
          <w:lang w:val="uk-UA"/>
        </w:rPr>
        <w:t xml:space="preserve">голови методичних </w:t>
      </w:r>
      <w:r w:rsidR="00796460" w:rsidRPr="00A903E6">
        <w:rPr>
          <w:rFonts w:ascii="Times New Roman" w:hAnsi="Times New Roman" w:cs="Times New Roman"/>
          <w:b/>
          <w:i/>
          <w:lang w:val="uk-UA"/>
        </w:rPr>
        <w:t>об’єднань</w:t>
      </w:r>
      <w:r w:rsidR="00E43C66" w:rsidRPr="00A903E6">
        <w:rPr>
          <w:rFonts w:ascii="Times New Roman" w:hAnsi="Times New Roman" w:cs="Times New Roman"/>
          <w:b/>
          <w:i/>
          <w:lang w:val="uk-UA"/>
        </w:rPr>
        <w:t xml:space="preserve"> учителів </w:t>
      </w:r>
    </w:p>
    <w:p w:rsidR="00E43C66" w:rsidRDefault="00E43C66" w:rsidP="00E43C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A903E6">
        <w:rPr>
          <w:rFonts w:ascii="Times New Roman" w:hAnsi="Times New Roman" w:cs="Times New Roman"/>
          <w:b/>
          <w:i/>
          <w:lang w:val="uk-UA"/>
        </w:rPr>
        <w:t>української мови та літератури</w:t>
      </w:r>
    </w:p>
    <w:p w:rsidR="00A903E6" w:rsidRPr="00A903E6" w:rsidRDefault="00A903E6" w:rsidP="00E43C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E43C66" w:rsidRPr="00A903E6" w:rsidRDefault="00897B86" w:rsidP="00E43C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A903E6">
        <w:rPr>
          <w:rFonts w:ascii="Times New Roman" w:hAnsi="Times New Roman" w:cs="Times New Roman"/>
          <w:b/>
          <w:i/>
          <w:lang w:val="uk-UA"/>
        </w:rPr>
        <w:t xml:space="preserve">            </w:t>
      </w:r>
      <w:r w:rsidR="00E43C66" w:rsidRPr="00A903E6">
        <w:rPr>
          <w:rFonts w:ascii="Times New Roman" w:hAnsi="Times New Roman" w:cs="Times New Roman"/>
          <w:b/>
          <w:i/>
          <w:lang w:val="uk-UA"/>
        </w:rPr>
        <w:t xml:space="preserve">Форма проведення: </w:t>
      </w:r>
      <w:proofErr w:type="spellStart"/>
      <w:r w:rsidR="00E43C66" w:rsidRPr="00A903E6">
        <w:rPr>
          <w:rFonts w:ascii="Times New Roman" w:hAnsi="Times New Roman" w:cs="Times New Roman"/>
          <w:b/>
          <w:i/>
          <w:lang w:val="uk-UA"/>
        </w:rPr>
        <w:t>модерація</w:t>
      </w:r>
      <w:proofErr w:type="spellEnd"/>
    </w:p>
    <w:p w:rsidR="00025767" w:rsidRPr="00A903E6" w:rsidRDefault="00897B86" w:rsidP="00E43C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A903E6">
        <w:rPr>
          <w:rFonts w:ascii="Times New Roman" w:hAnsi="Times New Roman" w:cs="Times New Roman"/>
          <w:b/>
          <w:i/>
          <w:lang w:val="uk-UA"/>
        </w:rPr>
        <w:t xml:space="preserve">          </w:t>
      </w:r>
      <w:r w:rsidR="00025767" w:rsidRPr="00A903E6">
        <w:rPr>
          <w:rFonts w:ascii="Times New Roman" w:hAnsi="Times New Roman" w:cs="Times New Roman"/>
          <w:b/>
          <w:i/>
          <w:lang w:val="uk-UA"/>
        </w:rPr>
        <w:t xml:space="preserve">Дата проведення: </w:t>
      </w:r>
      <w:r w:rsidR="00025767" w:rsidRPr="00A903E6">
        <w:rPr>
          <w:rFonts w:ascii="Times New Roman" w:hAnsi="Times New Roman" w:cs="Times New Roman"/>
          <w:b/>
          <w:i/>
        </w:rPr>
        <w:t>14</w:t>
      </w:r>
      <w:r w:rsidR="00025767" w:rsidRPr="00A903E6">
        <w:rPr>
          <w:rFonts w:ascii="Times New Roman" w:hAnsi="Times New Roman" w:cs="Times New Roman"/>
          <w:b/>
          <w:i/>
          <w:lang w:val="uk-UA"/>
        </w:rPr>
        <w:t>.</w:t>
      </w:r>
      <w:r w:rsidR="00025767" w:rsidRPr="00A903E6">
        <w:rPr>
          <w:rFonts w:ascii="Times New Roman" w:hAnsi="Times New Roman" w:cs="Times New Roman"/>
          <w:b/>
          <w:i/>
        </w:rPr>
        <w:t>10</w:t>
      </w:r>
      <w:r w:rsidR="00025767" w:rsidRPr="00A903E6">
        <w:rPr>
          <w:rFonts w:ascii="Times New Roman" w:hAnsi="Times New Roman" w:cs="Times New Roman"/>
          <w:b/>
          <w:i/>
          <w:lang w:val="uk-UA"/>
        </w:rPr>
        <w:t>.2015</w:t>
      </w:r>
    </w:p>
    <w:p w:rsidR="00025767" w:rsidRPr="00A903E6" w:rsidRDefault="00897B86" w:rsidP="00E43C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A903E6">
        <w:rPr>
          <w:rFonts w:ascii="Times New Roman" w:hAnsi="Times New Roman" w:cs="Times New Roman"/>
          <w:b/>
          <w:i/>
          <w:lang w:val="uk-UA"/>
        </w:rPr>
        <w:t xml:space="preserve">             </w:t>
      </w:r>
      <w:r w:rsidR="00025767" w:rsidRPr="00A903E6">
        <w:rPr>
          <w:rFonts w:ascii="Times New Roman" w:hAnsi="Times New Roman" w:cs="Times New Roman"/>
          <w:b/>
          <w:i/>
          <w:lang w:val="uk-UA"/>
        </w:rPr>
        <w:t xml:space="preserve">Місце проведення: </w:t>
      </w:r>
      <w:r w:rsidR="00025767" w:rsidRPr="00A903E6">
        <w:rPr>
          <w:rFonts w:ascii="Times New Roman" w:hAnsi="Times New Roman" w:cs="Times New Roman"/>
          <w:b/>
          <w:i/>
        </w:rPr>
        <w:t>ТКМЦНОІМ</w:t>
      </w:r>
    </w:p>
    <w:p w:rsidR="002B1A99" w:rsidRPr="00A903E6" w:rsidRDefault="002B1A99" w:rsidP="00E43C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A903E6">
        <w:rPr>
          <w:rFonts w:ascii="Times New Roman" w:hAnsi="Times New Roman" w:cs="Times New Roman"/>
          <w:b/>
          <w:i/>
          <w:lang w:val="uk-UA"/>
        </w:rPr>
        <w:t xml:space="preserve">Методист: </w:t>
      </w:r>
      <w:proofErr w:type="spellStart"/>
      <w:r w:rsidRPr="00A903E6">
        <w:rPr>
          <w:rFonts w:ascii="Times New Roman" w:hAnsi="Times New Roman" w:cs="Times New Roman"/>
          <w:b/>
          <w:i/>
          <w:lang w:val="uk-UA"/>
        </w:rPr>
        <w:t>Гапон</w:t>
      </w:r>
      <w:proofErr w:type="spellEnd"/>
      <w:r w:rsidRPr="00A903E6">
        <w:rPr>
          <w:rFonts w:ascii="Times New Roman" w:hAnsi="Times New Roman" w:cs="Times New Roman"/>
          <w:b/>
          <w:i/>
          <w:lang w:val="uk-UA"/>
        </w:rPr>
        <w:t xml:space="preserve"> Л.О.</w:t>
      </w:r>
    </w:p>
    <w:p w:rsidR="00A903E6" w:rsidRPr="00A903E6" w:rsidRDefault="00A903E6" w:rsidP="00E43C66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903E6" w:rsidRDefault="00A903E6" w:rsidP="00A90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val="uk-UA" w:eastAsia="ru-RU"/>
        </w:rPr>
      </w:pPr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val="uk-UA" w:eastAsia="ru-RU"/>
        </w:rPr>
        <w:t xml:space="preserve">Вчителі – це вмілі учні, які, щоб залишатись професіоналами, повинні постійно вдосконалювати свої знання і навики. </w:t>
      </w:r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Для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цього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школам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необхідно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створити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умови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,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щоб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вчителі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 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мали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можливість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обирати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самостійно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, як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ї</w:t>
      </w:r>
      <w:proofErr w:type="gram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м</w:t>
      </w:r>
      <w:proofErr w:type="spellEnd"/>
      <w:proofErr w:type="gram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зростати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,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які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цілі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перед собою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ставити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.</w:t>
      </w:r>
    </w:p>
    <w:p w:rsidR="009A5E54" w:rsidRPr="009A5E54" w:rsidRDefault="009A5E54" w:rsidP="00A90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val="uk-UA" w:eastAsia="ru-RU"/>
        </w:rPr>
      </w:pPr>
    </w:p>
    <w:p w:rsidR="00A903E6" w:rsidRPr="00A903E6" w:rsidRDefault="00A903E6" w:rsidP="00A903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</w:pPr>
      <w:r w:rsidRPr="00A903E6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Зміни відбуваються.</w:t>
      </w:r>
    </w:p>
    <w:p w:rsidR="00A903E6" w:rsidRPr="00A903E6" w:rsidRDefault="009A5E54" w:rsidP="00A903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Передбача</w:t>
      </w:r>
      <w:r w:rsidR="00A903E6" w:rsidRPr="00A903E6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йте зміни.</w:t>
      </w:r>
    </w:p>
    <w:p w:rsidR="00A903E6" w:rsidRPr="00A903E6" w:rsidRDefault="00A903E6" w:rsidP="00A903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</w:pPr>
      <w:r w:rsidRPr="00A903E6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Аналізуйте зміни.</w:t>
      </w:r>
    </w:p>
    <w:p w:rsidR="00A903E6" w:rsidRPr="00A903E6" w:rsidRDefault="009A5E54" w:rsidP="00A903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Адаптовуйтеся</w:t>
      </w:r>
      <w:proofErr w:type="spellEnd"/>
      <w:r w:rsidR="00A903E6" w:rsidRPr="00A903E6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 xml:space="preserve"> до швидких змін.</w:t>
      </w:r>
    </w:p>
    <w:p w:rsidR="00A903E6" w:rsidRPr="00A903E6" w:rsidRDefault="00A903E6" w:rsidP="00A903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</w:pPr>
      <w:r w:rsidRPr="00A903E6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Змінюйтеся!</w:t>
      </w:r>
    </w:p>
    <w:p w:rsidR="00A903E6" w:rsidRPr="00A903E6" w:rsidRDefault="00A903E6" w:rsidP="00A903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</w:pPr>
      <w:r w:rsidRPr="00A903E6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Насолоджуйтесь змінами!</w:t>
      </w:r>
    </w:p>
    <w:p w:rsidR="00A903E6" w:rsidRPr="00A903E6" w:rsidRDefault="00A903E6" w:rsidP="00A903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</w:pPr>
      <w:r w:rsidRPr="00A903E6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lang w:val="uk-UA" w:eastAsia="ru-RU"/>
        </w:rPr>
        <w:t>Будьте готові швидко змінюватися і насолоджуватися знову і знову!</w:t>
      </w:r>
    </w:p>
    <w:p w:rsidR="00025767" w:rsidRPr="00A903E6" w:rsidRDefault="00025767" w:rsidP="0002576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5767" w:rsidRPr="00A903E6" w:rsidRDefault="00A903E6" w:rsidP="00A90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hyperlink r:id="rId5" w:history="1"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</w:t>
        </w:r>
        <w:proofErr w:type="spellStart"/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kmc</w:t>
        </w:r>
        <w:proofErr w:type="spellEnd"/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hol</w:t>
        </w:r>
        <w:proofErr w:type="spellEnd"/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es</w:t>
        </w:r>
        <w:proofErr w:type="spellEnd"/>
      </w:hyperlink>
    </w:p>
    <w:p w:rsidR="00796460" w:rsidRPr="00A903E6" w:rsidRDefault="00A903E6" w:rsidP="00A903E6">
      <w:pPr>
        <w:spacing w:after="0" w:line="240" w:lineRule="auto"/>
        <w:jc w:val="center"/>
        <w:rPr>
          <w:rFonts w:ascii="Georgia" w:hAnsi="Georgia" w:cs="Times New Roman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hyperlink r:id="rId6" w:history="1"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yuzephik</w:t>
        </w:r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96460" w:rsidRPr="00A903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903E6" w:rsidRDefault="00A903E6" w:rsidP="00025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Мета. </w:t>
      </w:r>
      <w:r w:rsidR="00796460" w:rsidRPr="00A903E6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форми і методи методичної роботи з учителями в системі </w:t>
      </w:r>
      <w:proofErr w:type="spellStart"/>
      <w:r w:rsidR="00796460" w:rsidRPr="00A903E6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="00796460" w:rsidRPr="00A903E6">
        <w:rPr>
          <w:rFonts w:ascii="Times New Roman" w:hAnsi="Times New Roman" w:cs="Times New Roman"/>
          <w:sz w:val="24"/>
          <w:szCs w:val="24"/>
          <w:lang w:val="uk-UA"/>
        </w:rPr>
        <w:t xml:space="preserve"> зорієнтованої післядипломної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03E6" w:rsidRDefault="00A903E6" w:rsidP="0002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5767" w:rsidRPr="00A903E6" w:rsidRDefault="00A903E6" w:rsidP="0002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A903E6">
        <w:rPr>
          <w:rFonts w:ascii="Times New Roman" w:hAnsi="Times New Roman" w:cs="Times New Roman"/>
          <w:b/>
          <w:sz w:val="24"/>
          <w:szCs w:val="24"/>
          <w:lang w:val="uk-UA"/>
        </w:rPr>
        <w:t>міст роботи</w:t>
      </w:r>
    </w:p>
    <w:p w:rsidR="00025767" w:rsidRPr="00A903E6" w:rsidRDefault="00897B86" w:rsidP="00025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sz w:val="24"/>
          <w:szCs w:val="24"/>
          <w:lang w:val="uk-UA"/>
        </w:rPr>
        <w:t>Контент-аналіз плану організаційно-методичної діяльності з учителями української мови та літератури.</w:t>
      </w:r>
    </w:p>
    <w:p w:rsidR="00025767" w:rsidRDefault="002B1A99" w:rsidP="00025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sz w:val="24"/>
          <w:szCs w:val="24"/>
          <w:lang w:val="uk-UA"/>
        </w:rPr>
        <w:t>Форми і методи організації методичної роботи з учителями.</w:t>
      </w:r>
    </w:p>
    <w:p w:rsidR="00A903E6" w:rsidRPr="00A903E6" w:rsidRDefault="00A903E6" w:rsidP="00A903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A99" w:rsidRDefault="002B1A99" w:rsidP="002B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903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ФОРМИ ОРГАНІЗАЦІЇ РОБОТИ ДЛЯ ПРОФЕСІЙНОГО ЗРОСТАННЯ УЧИТЕЛІВ</w:t>
      </w:r>
    </w:p>
    <w:p w:rsidR="00A903E6" w:rsidRPr="00A903E6" w:rsidRDefault="00A903E6" w:rsidP="002B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2B1A99" w:rsidRPr="00F5169E" w:rsidRDefault="002B1A99" w:rsidP="002B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КНИЖКОВИЙ КЛУБ.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схожими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інтересами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практик.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вчительський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книгу, яку б </w:t>
      </w:r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запропронувати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книг,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вподоби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повинен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відбуватись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для того,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думку.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A99" w:rsidRPr="00F5169E" w:rsidRDefault="002B1A99" w:rsidP="002B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F5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ДОСЛ</w:t>
      </w:r>
      <w:proofErr w:type="gramEnd"/>
      <w:r w:rsidRPr="00F5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ІДЖЕННЯ ДІЯЛЬНОСТІ. 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для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прагнуть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нагода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розпочинається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</w:t>
      </w:r>
      <w:proofErr w:type="spellStart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можу</w:t>
      </w:r>
      <w:proofErr w:type="spellEnd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покращити</w:t>
      </w:r>
      <w:proofErr w:type="spellEnd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своєму</w:t>
      </w:r>
      <w:proofErr w:type="spellEnd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класі</w:t>
      </w:r>
      <w:proofErr w:type="spellEnd"/>
      <w:r w:rsidRPr="00F51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?».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заглиблюється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речей,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теперішній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перетворюється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лабораторію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випробовує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A99" w:rsidRPr="00F5169E" w:rsidRDefault="002B1A99" w:rsidP="002B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ОПРАЦЮВАННЯ УРОКУ.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японській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над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маючи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урок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той час як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спостерігають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ним. </w:t>
      </w:r>
      <w:proofErr w:type="spellStart"/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збираються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підсумовують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той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зворотнього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вцілому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1A99" w:rsidRPr="00F5169E" w:rsidRDefault="002B1A99" w:rsidP="002B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НАСТАВНИЦТВО (МЕНТОРСТВО).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щойно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розпочали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досвідом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чудовим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освітян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Проте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менторство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може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знадобитися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вчителям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будь-якому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віці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якщо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вони</w:t>
      </w:r>
      <w:proofErr w:type="gram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розпочинають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вивчати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щось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нове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–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нові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методики,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нові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технології</w:t>
      </w:r>
      <w:proofErr w:type="spellEnd"/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A90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 стажем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інтегрувати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ментора.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зворотнього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1A99" w:rsidRPr="00F5169E" w:rsidRDefault="002B1A99" w:rsidP="002B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СПОСТЕРЕЖЕННЯ.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та батьками.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Спосетерження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дозволяють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віднайти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A99" w:rsidRPr="00F5169E" w:rsidRDefault="002B1A99" w:rsidP="002B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ПОРТФОЛІО.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тестами.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продемонструвати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хорошою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можливістю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пороздумувати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відбулось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Портфоліо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рецензії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</w:t>
      </w:r>
      <w:proofErr w:type="gram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відео-уроки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приклади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</w:t>
      </w:r>
      <w:r w:rsidRPr="009A5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A903E6" w:rsidRDefault="00A903E6" w:rsidP="00A90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1A99" w:rsidRPr="00A903E6" w:rsidRDefault="002B1A99" w:rsidP="00A90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>Вісім</w:t>
      </w:r>
      <w:proofErr w:type="spellEnd"/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якостей</w:t>
      </w:r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наставника вчителів (з</w:t>
      </w:r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proofErr w:type="gramStart"/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>імберлі</w:t>
      </w:r>
      <w:proofErr w:type="spellEnd"/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Лонг</w:t>
      </w:r>
      <w:r w:rsidRPr="00A903E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)</w:t>
      </w:r>
    </w:p>
    <w:p w:rsidR="002B1A99" w:rsidRPr="00A903E6" w:rsidRDefault="002B1A99" w:rsidP="00A90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1.</w:t>
      </w:r>
      <w:proofErr w:type="spellStart"/>
      <w:r w:rsidRPr="00A903E6">
        <w:rPr>
          <w:rFonts w:ascii="Times New Roman" w:hAnsi="Times New Roman" w:cs="Times New Roman"/>
          <w:b/>
          <w:i/>
          <w:sz w:val="24"/>
          <w:szCs w:val="24"/>
        </w:rPr>
        <w:t>Повага</w:t>
      </w:r>
      <w:proofErr w:type="spellEnd"/>
      <w:r w:rsidRPr="00A903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2.</w:t>
      </w:r>
      <w:r w:rsidRPr="00A903E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Start"/>
      <w:r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міння</w:t>
      </w:r>
      <w:proofErr w:type="spellEnd"/>
      <w:r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слухати</w:t>
      </w:r>
    </w:p>
    <w:p w:rsidR="002B1A99" w:rsidRPr="00A903E6" w:rsidRDefault="002B1A99" w:rsidP="00A90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  <w:r w:rsid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Виклик</w:t>
      </w:r>
      <w:r w:rsidRPr="00A903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A5E54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A903E6">
        <w:rPr>
          <w:rFonts w:ascii="Times New Roman" w:hAnsi="Times New Roman" w:cs="Times New Roman"/>
          <w:b/>
          <w:i/>
          <w:sz w:val="24"/>
          <w:szCs w:val="24"/>
        </w:rPr>
        <w:t>Співпраця.</w:t>
      </w:r>
    </w:p>
    <w:p w:rsidR="002B1A99" w:rsidRPr="00A903E6" w:rsidRDefault="009A5E54" w:rsidP="00A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Розділена радість</w:t>
      </w:r>
      <w:r w:rsidR="002B1A99" w:rsidRPr="00A903E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6.</w:t>
      </w:r>
      <w:r w:rsidR="002B1A99"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Правдивість.</w:t>
      </w:r>
    </w:p>
    <w:p w:rsidR="002B1A99" w:rsidRPr="00A903E6" w:rsidRDefault="009A5E54" w:rsidP="00A90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2B1A99" w:rsidRPr="00A903E6">
        <w:rPr>
          <w:rFonts w:ascii="Times New Roman" w:hAnsi="Times New Roman" w:cs="Times New Roman"/>
          <w:b/>
          <w:i/>
          <w:sz w:val="24"/>
          <w:szCs w:val="24"/>
        </w:rPr>
        <w:t xml:space="preserve">Безпека. </w:t>
      </w:r>
      <w:r w:rsidR="002B1A99"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2B1A99" w:rsidRPr="00A903E6">
        <w:rPr>
          <w:rFonts w:ascii="Times New Roman" w:hAnsi="Times New Roman" w:cs="Times New Roman"/>
          <w:b/>
          <w:i/>
          <w:sz w:val="24"/>
          <w:szCs w:val="24"/>
        </w:rPr>
        <w:t>Співчуття</w:t>
      </w:r>
      <w:proofErr w:type="spellEnd"/>
      <w:r w:rsidR="002B1A99" w:rsidRPr="00A903E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B1A99" w:rsidRPr="003B22D9" w:rsidRDefault="002B1A99" w:rsidP="00025767">
      <w:pPr>
        <w:spacing w:after="0" w:line="240" w:lineRule="auto"/>
        <w:jc w:val="both"/>
        <w:rPr>
          <w:rFonts w:ascii="Georgia" w:hAnsi="Georgia" w:cs="Times New Roman"/>
          <w:i/>
          <w:color w:val="FF0000"/>
          <w:lang w:val="uk-UA"/>
        </w:rPr>
      </w:pPr>
    </w:p>
    <w:sectPr w:rsidR="002B1A99" w:rsidRPr="003B22D9" w:rsidSect="00644C2C">
      <w:pgSz w:w="16838" w:h="11906" w:orient="landscape"/>
      <w:pgMar w:top="568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004"/>
    <w:multiLevelType w:val="hybridMultilevel"/>
    <w:tmpl w:val="470E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27E"/>
    <w:multiLevelType w:val="hybridMultilevel"/>
    <w:tmpl w:val="E72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240B"/>
    <w:multiLevelType w:val="hybridMultilevel"/>
    <w:tmpl w:val="7CE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6DCE"/>
    <w:multiLevelType w:val="hybridMultilevel"/>
    <w:tmpl w:val="A3AA5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1309A"/>
    <w:multiLevelType w:val="hybridMultilevel"/>
    <w:tmpl w:val="78FA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767"/>
    <w:rsid w:val="00025767"/>
    <w:rsid w:val="002B1A99"/>
    <w:rsid w:val="004A4A39"/>
    <w:rsid w:val="00796460"/>
    <w:rsid w:val="00897B86"/>
    <w:rsid w:val="009A5E54"/>
    <w:rsid w:val="00A903E6"/>
    <w:rsid w:val="00D72266"/>
    <w:rsid w:val="00E43C66"/>
    <w:rsid w:val="00FB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67"/>
    <w:pPr>
      <w:ind w:left="720"/>
      <w:contextualSpacing/>
    </w:pPr>
  </w:style>
  <w:style w:type="paragraph" w:customStyle="1" w:styleId="FR2">
    <w:name w:val="FR2"/>
    <w:rsid w:val="00025767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02576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Normal (Web)"/>
    <w:basedOn w:val="a"/>
    <w:uiPriority w:val="99"/>
    <w:semiHidden/>
    <w:unhideWhenUsed/>
    <w:rsid w:val="0002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767"/>
  </w:style>
  <w:style w:type="paragraph" w:styleId="2">
    <w:name w:val="Body Text Indent 2"/>
    <w:basedOn w:val="a"/>
    <w:link w:val="20"/>
    <w:rsid w:val="00025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у1"/>
    <w:basedOn w:val="a"/>
    <w:rsid w:val="00025767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96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zephik@gmail.com" TargetMode="External"/><Relationship Id="rId5" Type="http://schemas.openxmlformats.org/officeDocument/2006/relationships/hyperlink" Target="http://www.tkmc.ho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2015-10-14T20:04:00Z</dcterms:created>
  <dcterms:modified xsi:type="dcterms:W3CDTF">2015-10-14T21:12:00Z</dcterms:modified>
</cp:coreProperties>
</file>